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both"/>
        <w:rPr>
          <w:rFonts w:ascii="仿宋" w:hAnsi="仿宋" w:eastAsia="仿宋" w:cs="仿宋"/>
          <w:sz w:val="28"/>
          <w:szCs w:val="28"/>
          <w:shd w:val="clear" w:color="auto" w:fill="FFFFFF"/>
        </w:rPr>
      </w:pPr>
      <w:bookmarkStart w:id="0" w:name="_GoBack"/>
      <w:bookmarkEnd w:id="0"/>
    </w:p>
    <w:p>
      <w:pPr>
        <w:pStyle w:val="5"/>
        <w:widowControl/>
        <w:shd w:val="clear" w:color="auto" w:fill="FFFFFF"/>
        <w:spacing w:beforeAutospacing="0" w:afterAutospacing="0"/>
        <w:ind w:firstLine="723" w:firstLineChars="200"/>
        <w:jc w:val="center"/>
        <w:rPr>
          <w:rFonts w:hint="eastAsia" w:ascii="仿宋" w:hAnsi="仿宋" w:eastAsia="仿宋" w:cs="仿宋"/>
          <w:b/>
          <w:bCs/>
          <w:sz w:val="36"/>
          <w:szCs w:val="36"/>
          <w:shd w:val="clear" w:color="auto" w:fill="FFFFFF"/>
          <w:lang w:val="en-US" w:eastAsia="zh-CN"/>
        </w:rPr>
      </w:pPr>
      <w:r>
        <w:rPr>
          <w:rFonts w:hint="eastAsia" w:ascii="仿宋" w:hAnsi="仿宋" w:eastAsia="仿宋" w:cs="仿宋"/>
          <w:b/>
          <w:bCs/>
          <w:sz w:val="36"/>
          <w:szCs w:val="36"/>
          <w:shd w:val="clear" w:color="auto" w:fill="FFFFFF"/>
          <w:lang w:eastAsia="zh-CN"/>
        </w:rPr>
        <w:t>贵州中医药大学</w:t>
      </w:r>
      <w:r>
        <w:rPr>
          <w:rFonts w:hint="eastAsia" w:ascii="仿宋" w:hAnsi="仿宋" w:eastAsia="仿宋" w:cs="仿宋"/>
          <w:b/>
          <w:bCs/>
          <w:sz w:val="36"/>
          <w:szCs w:val="36"/>
          <w:shd w:val="clear" w:color="auto" w:fill="FFFFFF"/>
          <w:lang w:val="en-US" w:eastAsia="zh-CN"/>
        </w:rPr>
        <w:t>2020年研究生教育</w:t>
      </w:r>
    </w:p>
    <w:p>
      <w:pPr>
        <w:pStyle w:val="5"/>
        <w:widowControl/>
        <w:shd w:val="clear" w:color="auto" w:fill="FFFFFF"/>
        <w:spacing w:beforeAutospacing="0" w:afterAutospacing="0"/>
        <w:ind w:firstLine="2530" w:firstLineChars="700"/>
        <w:jc w:val="both"/>
        <w:rPr>
          <w:rFonts w:hint="eastAsia" w:ascii="仿宋" w:hAnsi="仿宋" w:eastAsia="仿宋" w:cs="仿宋"/>
          <w:b/>
          <w:bCs/>
          <w:sz w:val="36"/>
          <w:szCs w:val="36"/>
          <w:shd w:val="clear" w:color="auto" w:fill="FFFFFF"/>
          <w:lang w:val="en-US" w:eastAsia="zh-CN"/>
        </w:rPr>
      </w:pPr>
      <w:r>
        <w:rPr>
          <w:rFonts w:hint="eastAsia" w:ascii="仿宋" w:hAnsi="仿宋" w:eastAsia="仿宋" w:cs="仿宋"/>
          <w:b/>
          <w:bCs/>
          <w:sz w:val="36"/>
          <w:szCs w:val="36"/>
          <w:shd w:val="clear" w:color="auto" w:fill="FFFFFF"/>
          <w:lang w:val="en-US" w:eastAsia="zh-CN"/>
        </w:rPr>
        <w:t>创新计划项目推荐名单</w:t>
      </w:r>
    </w:p>
    <w:tbl>
      <w:tblPr>
        <w:tblStyle w:val="7"/>
        <w:tblW w:w="11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521"/>
        <w:gridCol w:w="5862"/>
        <w:gridCol w:w="877"/>
        <w:gridCol w:w="1274"/>
        <w:gridCol w:w="1152"/>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13" w:type="dxa"/>
            <w:vAlign w:val="center"/>
          </w:tcPr>
          <w:p>
            <w:pPr>
              <w:pStyle w:val="5"/>
              <w:widowControl/>
              <w:spacing w:beforeAutospacing="0" w:afterAutospacing="0"/>
              <w:jc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t>项目类别</w:t>
            </w:r>
          </w:p>
        </w:tc>
        <w:tc>
          <w:tcPr>
            <w:tcW w:w="521" w:type="dxa"/>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t>序号</w:t>
            </w:r>
          </w:p>
        </w:tc>
        <w:tc>
          <w:tcPr>
            <w:tcW w:w="5862" w:type="dxa"/>
            <w:vAlign w:val="center"/>
          </w:tcPr>
          <w:p>
            <w:pPr>
              <w:pStyle w:val="5"/>
              <w:widowControl/>
              <w:spacing w:beforeAutospacing="0" w:afterAutospacing="0"/>
              <w:ind w:firstLine="1890" w:firstLineChars="90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t>项目名称</w:t>
            </w:r>
          </w:p>
        </w:tc>
        <w:tc>
          <w:tcPr>
            <w:tcW w:w="877" w:type="dxa"/>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t>申请人</w:t>
            </w:r>
          </w:p>
        </w:tc>
        <w:tc>
          <w:tcPr>
            <w:tcW w:w="1274" w:type="dxa"/>
            <w:vAlign w:val="center"/>
          </w:tcPr>
          <w:p>
            <w:pPr>
              <w:pStyle w:val="5"/>
              <w:widowControl/>
              <w:spacing w:beforeAutospacing="0" w:afterAutospacing="0"/>
              <w:jc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t>所在</w:t>
            </w:r>
          </w:p>
          <w:p>
            <w:pPr>
              <w:pStyle w:val="5"/>
              <w:widowControl/>
              <w:spacing w:beforeAutospacing="0" w:afterAutospacing="0"/>
              <w:jc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t>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推荐级别</w:t>
            </w:r>
          </w:p>
        </w:tc>
        <w:tc>
          <w:tcPr>
            <w:tcW w:w="10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经费</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Merge w:val="restart"/>
            <w:vAlign w:val="center"/>
          </w:tcPr>
          <w:p>
            <w:pPr>
              <w:pStyle w:val="5"/>
              <w:widowControl/>
              <w:spacing w:beforeAutospacing="0" w:afterAutospacing="0"/>
              <w:jc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t>自然科学</w:t>
            </w:r>
          </w:p>
          <w:p>
            <w:pPr>
              <w:pStyle w:val="5"/>
              <w:widowControl/>
              <w:spacing w:beforeAutospacing="0" w:afterAutospacing="0"/>
              <w:jc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t>项目</w:t>
            </w: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1</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基于“肠-脑”轴探讨芎麻汤有效部位对肝阳上亢兼瘀血型偏头痛大鼠肠道菌群的影响</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刘顶鼎</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药学院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重点</w:t>
            </w:r>
          </w:p>
        </w:tc>
        <w:tc>
          <w:tcPr>
            <w:tcW w:w="102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2</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基于生物标签研究模式运用组学和信息学多维度定位山豆根治疗中枢神经系统疾病的分子机制</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李煦照</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药学院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重点</w:t>
            </w:r>
          </w:p>
        </w:tc>
        <w:tc>
          <w:tcPr>
            <w:tcW w:w="102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3</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Style w:val="13"/>
                <w:rFonts w:hint="eastAsia" w:ascii="仿宋" w:hAnsi="仿宋" w:eastAsia="仿宋" w:cs="仿宋"/>
                <w:lang w:val="en-US" w:eastAsia="zh-CN" w:bidi="ar"/>
              </w:rPr>
              <w:t>理气活血滴丸对APOE</w:t>
            </w:r>
            <w:r>
              <w:rPr>
                <w:rStyle w:val="14"/>
                <w:rFonts w:hint="eastAsia" w:ascii="仿宋" w:hAnsi="仿宋" w:eastAsia="仿宋" w:cs="仿宋"/>
                <w:lang w:val="en-US" w:eastAsia="zh-CN" w:bidi="ar"/>
              </w:rPr>
              <w:t>-/-</w:t>
            </w:r>
            <w:r>
              <w:rPr>
                <w:rStyle w:val="13"/>
                <w:rFonts w:hint="eastAsia" w:ascii="仿宋" w:hAnsi="仿宋" w:eastAsia="仿宋" w:cs="仿宋"/>
                <w:lang w:val="en-US" w:eastAsia="zh-CN" w:bidi="ar"/>
              </w:rPr>
              <w:t>小鼠动脉粥样硬化模型</w:t>
            </w:r>
            <w:r>
              <w:rPr>
                <w:rStyle w:val="15"/>
                <w:rFonts w:hint="eastAsia" w:ascii="仿宋" w:hAnsi="仿宋" w:eastAsia="仿宋" w:cs="仿宋"/>
                <w:lang w:val="en-US" w:eastAsia="zh-CN" w:bidi="ar"/>
              </w:rPr>
              <w:t>TLR4</w:t>
            </w:r>
            <w:r>
              <w:rPr>
                <w:rStyle w:val="13"/>
                <w:rFonts w:hint="eastAsia" w:ascii="仿宋" w:hAnsi="仿宋" w:eastAsia="仿宋" w:cs="仿宋"/>
                <w:lang w:val="en-US" w:eastAsia="zh-CN" w:bidi="ar"/>
              </w:rPr>
              <w:t>/NF-κb信号通路的影响</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郭磊磊</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第二临床医学院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重点</w:t>
            </w:r>
          </w:p>
        </w:tc>
        <w:tc>
          <w:tcPr>
            <w:tcW w:w="102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4</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清解益肺苗方抗非小细胞肺癌物质基础研究</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李江</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药学院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5</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基于MAPK/NF-κB通路探讨运脾泻肺化痰方调控哮喘大鼠气道重塑的机制研究</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陈竹</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第二临床医学院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6</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基于机器学习建立黑骨藤追风活络胶囊辅助治疗寒痹证类风湿关节炎的临床疗效预测模型</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梁江</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第一临床医学院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7</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苗医弩药针疗法联合盐酸羟考酮缓释片治疗肺癌气阴两虚型疼痛的临床疗效观察</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吴文宇</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第一临床医学院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8</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基于Notch信号通路研究费菜总黄酮防治AS作用及其机制</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吴曙光</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实验动物研究所</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9</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 xml:space="preserve">活血接骨复方胶囊对家兔脊椎闭合性骨折的作用机制研究 </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许和贵</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骨伤学院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10</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Style w:val="13"/>
                <w:rFonts w:hint="eastAsia" w:ascii="仿宋" w:hAnsi="仿宋" w:eastAsia="仿宋" w:cs="仿宋"/>
                <w:lang w:val="en-US" w:eastAsia="zh-CN" w:bidi="ar"/>
              </w:rPr>
              <w:t>红景天对运动性疲劳大鼠骨骼肌AMPK/PGC-1</w:t>
            </w:r>
            <w:r>
              <w:rPr>
                <w:rStyle w:val="16"/>
                <w:rFonts w:hint="eastAsia" w:ascii="仿宋" w:hAnsi="仿宋" w:eastAsia="仿宋" w:cs="仿宋"/>
                <w:lang w:val="en-US" w:eastAsia="zh-CN" w:bidi="ar"/>
              </w:rPr>
              <w:t>ɑ</w:t>
            </w:r>
            <w:r>
              <w:rPr>
                <w:rStyle w:val="13"/>
                <w:rFonts w:hint="eastAsia" w:ascii="仿宋" w:hAnsi="仿宋" w:eastAsia="仿宋" w:cs="仿宋"/>
                <w:lang w:val="en-US" w:eastAsia="zh-CN" w:bidi="ar"/>
              </w:rPr>
              <w:t>通路的影响</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马四补</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体育健康学院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11</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耳穴贴压联合耳部全息刮痧治疗大学生失眠的疗效观察</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熊江艳</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护理学院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12</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“苗药痛风灵”治疗急性痛风性关节炎湿热痹阻型的临床疗效与相关机制研究</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程志刚</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针灸骨伤学院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3" w:type="dxa"/>
            <w:vMerge w:val="restart"/>
            <w:vAlign w:val="center"/>
          </w:tcPr>
          <w:p>
            <w:pPr>
              <w:pStyle w:val="5"/>
              <w:widowControl/>
              <w:spacing w:beforeAutospacing="0" w:afterAutospacing="0"/>
              <w:jc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t>教育教学改革项目</w:t>
            </w: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1</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公共管理专业学位研究生的U-B-W协同育人机制研究</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2"/>
                <w:szCs w:val="22"/>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刘波</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人文与管理学院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重点</w:t>
            </w:r>
          </w:p>
        </w:tc>
        <w:tc>
          <w:tcPr>
            <w:tcW w:w="102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2</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基于Internet案例库的“疹舌”辨治教学法在 中医皮肤病辨证思维建立教学中的应用研究</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2"/>
                <w:szCs w:val="22"/>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唐挺</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第一临床医学院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重点</w:t>
            </w:r>
          </w:p>
        </w:tc>
        <w:tc>
          <w:tcPr>
            <w:tcW w:w="102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cs="Times New Roman"/>
                <w:i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3</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公共管理专业学位研究生案例库建设研究</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2"/>
                <w:szCs w:val="22"/>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李悦鸣</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人文与管理学院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4</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基于专业学位研究生能力考核和过程考核的人才培养体系构建与实践</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王新星</w:t>
            </w:r>
          </w:p>
        </w:tc>
        <w:tc>
          <w:tcPr>
            <w:tcW w:w="1274"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第二临床医学院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5</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专业学位研究生《天然药物化学》课程案例库建设</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张艳焱</w:t>
            </w:r>
          </w:p>
        </w:tc>
        <w:tc>
          <w:tcPr>
            <w:tcW w:w="127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药学院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6</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基于微信公众平台的网络协作学习模式探索“并轨”后中西医结合临床专业学位研究生科研能力的培养</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李玉洁</w:t>
            </w:r>
          </w:p>
        </w:tc>
        <w:tc>
          <w:tcPr>
            <w:tcW w:w="127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第二临床医学院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13" w:type="dxa"/>
            <w:vMerge w:val="continue"/>
            <w:vAlign w:val="center"/>
          </w:tcPr>
          <w:p>
            <w:pPr>
              <w:pStyle w:val="5"/>
              <w:widowControl/>
              <w:spacing w:beforeAutospacing="0" w:afterAutospacing="0"/>
              <w:jc w:val="both"/>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p>
        </w:tc>
        <w:tc>
          <w:tcPr>
            <w:tcW w:w="521" w:type="dxa"/>
            <w:vAlign w:val="center"/>
          </w:tcPr>
          <w:p>
            <w:pPr>
              <w:pStyle w:val="5"/>
              <w:widowControl/>
              <w:spacing w:beforeAutospacing="0" w:afterAutospacing="0"/>
              <w:jc w:val="center"/>
              <w:rPr>
                <w:rFonts w:hint="default" w:ascii="Times New Roman" w:hAnsi="Times New Roman"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eastAsia="仿宋" w:cs="Times New Roman"/>
                <w:b w:val="0"/>
                <w:bCs w:val="0"/>
                <w:color w:val="000000" w:themeColor="text1"/>
                <w:sz w:val="21"/>
                <w:szCs w:val="21"/>
                <w:shd w:val="clear" w:color="auto" w:fill="FFFFFF"/>
                <w:vertAlign w:val="baseline"/>
                <w:lang w:val="en-US" w:eastAsia="zh-CN"/>
                <w14:textFill>
                  <w14:solidFill>
                    <w14:schemeClr w14:val="tx1"/>
                  </w14:solidFill>
                </w14:textFill>
              </w:rPr>
              <w:t>7</w:t>
            </w:r>
          </w:p>
        </w:tc>
        <w:tc>
          <w:tcPr>
            <w:tcW w:w="5862" w:type="dxa"/>
            <w:vAlign w:val="center"/>
          </w:tcPr>
          <w:p>
            <w:pPr>
              <w:keepNext w:val="0"/>
              <w:keepLines w:val="0"/>
              <w:widowControl/>
              <w:suppressLineNumbers w:val="0"/>
              <w:jc w:val="left"/>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贵州中医药大学学术学位硕士研究生碎片化课程建设</w:t>
            </w:r>
          </w:p>
        </w:tc>
        <w:tc>
          <w:tcPr>
            <w:tcW w:w="877" w:type="dxa"/>
            <w:vAlign w:val="center"/>
          </w:tcPr>
          <w:p>
            <w:pPr>
              <w:keepNext w:val="0"/>
              <w:keepLines w:val="0"/>
              <w:widowControl/>
              <w:suppressLineNumbers w:val="0"/>
              <w:jc w:val="center"/>
              <w:textAlignment w:val="center"/>
              <w:rPr>
                <w:rFonts w:hint="eastAsia" w:ascii="仿宋" w:hAnsi="仿宋" w:eastAsia="仿宋" w:cs="仿宋"/>
                <w:b w:val="0"/>
                <w:bCs w:val="0"/>
                <w:color w:val="000000" w:themeColor="text1"/>
                <w:sz w:val="21"/>
                <w:szCs w:val="21"/>
                <w:shd w:val="clear" w:color="auto" w:fill="FFFFFF"/>
                <w:vertAlign w:val="baseline"/>
                <w:lang w:val="en-US" w:eastAsia="zh-CN"/>
                <w14:textFill>
                  <w14:solidFill>
                    <w14:schemeClr w14:val="tx1"/>
                  </w14:solidFill>
                </w14:textFill>
              </w:rPr>
            </w:pPr>
            <w:r>
              <w:rPr>
                <w:rFonts w:hint="eastAsia" w:ascii="仿宋" w:hAnsi="仿宋" w:eastAsia="仿宋" w:cs="仿宋"/>
                <w:i w:val="0"/>
                <w:color w:val="000000"/>
                <w:kern w:val="0"/>
                <w:sz w:val="22"/>
                <w:szCs w:val="22"/>
                <w:u w:val="none"/>
                <w:lang w:val="en-US" w:eastAsia="zh-CN" w:bidi="ar"/>
              </w:rPr>
              <w:t>覃海龙</w:t>
            </w:r>
          </w:p>
        </w:tc>
        <w:tc>
          <w:tcPr>
            <w:tcW w:w="127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药学院</w:t>
            </w:r>
          </w:p>
        </w:tc>
        <w:tc>
          <w:tcPr>
            <w:tcW w:w="11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w:t>
            </w:r>
          </w:p>
        </w:tc>
        <w:tc>
          <w:tcPr>
            <w:tcW w:w="1020" w:type="dxa"/>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0.8</w:t>
            </w:r>
          </w:p>
        </w:tc>
      </w:tr>
    </w:tbl>
    <w:p>
      <w:pPr>
        <w:pStyle w:val="5"/>
        <w:widowControl/>
        <w:shd w:val="clear" w:color="auto" w:fill="FFFFFF"/>
        <w:spacing w:beforeAutospacing="0" w:afterAutospacing="0"/>
        <w:jc w:val="both"/>
        <w:rPr>
          <w:rFonts w:hint="default" w:ascii="仿宋" w:hAnsi="仿宋" w:eastAsia="仿宋" w:cs="仿宋"/>
          <w:b/>
          <w:bCs/>
          <w:sz w:val="21"/>
          <w:szCs w:val="21"/>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C8"/>
    <w:rsid w:val="00007F58"/>
    <w:rsid w:val="000178BE"/>
    <w:rsid w:val="00021CE0"/>
    <w:rsid w:val="00042EC8"/>
    <w:rsid w:val="00093298"/>
    <w:rsid w:val="000D0978"/>
    <w:rsid w:val="000E2CB4"/>
    <w:rsid w:val="000F204C"/>
    <w:rsid w:val="00100B74"/>
    <w:rsid w:val="00152BFD"/>
    <w:rsid w:val="00154220"/>
    <w:rsid w:val="0016022C"/>
    <w:rsid w:val="00162D37"/>
    <w:rsid w:val="0017158D"/>
    <w:rsid w:val="001715AD"/>
    <w:rsid w:val="0017446D"/>
    <w:rsid w:val="00195B29"/>
    <w:rsid w:val="001A20CE"/>
    <w:rsid w:val="001A21B7"/>
    <w:rsid w:val="001A4AF5"/>
    <w:rsid w:val="001B4CD7"/>
    <w:rsid w:val="001B4FBF"/>
    <w:rsid w:val="001C79B2"/>
    <w:rsid w:val="001E1996"/>
    <w:rsid w:val="001E5F44"/>
    <w:rsid w:val="001F0515"/>
    <w:rsid w:val="00222C0B"/>
    <w:rsid w:val="0024035F"/>
    <w:rsid w:val="00246B4C"/>
    <w:rsid w:val="00284416"/>
    <w:rsid w:val="0029716B"/>
    <w:rsid w:val="002A730F"/>
    <w:rsid w:val="002D1C48"/>
    <w:rsid w:val="002D2AB8"/>
    <w:rsid w:val="002E49C8"/>
    <w:rsid w:val="002E61DC"/>
    <w:rsid w:val="00305306"/>
    <w:rsid w:val="00331872"/>
    <w:rsid w:val="003546F5"/>
    <w:rsid w:val="0035773F"/>
    <w:rsid w:val="00373170"/>
    <w:rsid w:val="00375F6F"/>
    <w:rsid w:val="00387A6F"/>
    <w:rsid w:val="00387B45"/>
    <w:rsid w:val="00394676"/>
    <w:rsid w:val="003B00B6"/>
    <w:rsid w:val="003B02C4"/>
    <w:rsid w:val="003B1DC5"/>
    <w:rsid w:val="003C4B1C"/>
    <w:rsid w:val="003D75AB"/>
    <w:rsid w:val="003E26B3"/>
    <w:rsid w:val="00400B03"/>
    <w:rsid w:val="00406099"/>
    <w:rsid w:val="0043348D"/>
    <w:rsid w:val="00446E2C"/>
    <w:rsid w:val="0045016C"/>
    <w:rsid w:val="00481C95"/>
    <w:rsid w:val="004968A5"/>
    <w:rsid w:val="004A45CB"/>
    <w:rsid w:val="004B5729"/>
    <w:rsid w:val="004C4B25"/>
    <w:rsid w:val="004D3FEF"/>
    <w:rsid w:val="004E632D"/>
    <w:rsid w:val="0051319B"/>
    <w:rsid w:val="005165A7"/>
    <w:rsid w:val="005202C6"/>
    <w:rsid w:val="0052383C"/>
    <w:rsid w:val="00544390"/>
    <w:rsid w:val="005525B0"/>
    <w:rsid w:val="0056017A"/>
    <w:rsid w:val="00585A7B"/>
    <w:rsid w:val="00586D08"/>
    <w:rsid w:val="005964FB"/>
    <w:rsid w:val="005B134B"/>
    <w:rsid w:val="005B2C32"/>
    <w:rsid w:val="005B6516"/>
    <w:rsid w:val="005D24A9"/>
    <w:rsid w:val="005E366C"/>
    <w:rsid w:val="005E3D09"/>
    <w:rsid w:val="005F6657"/>
    <w:rsid w:val="006022D9"/>
    <w:rsid w:val="0060584A"/>
    <w:rsid w:val="006171CA"/>
    <w:rsid w:val="006535F3"/>
    <w:rsid w:val="00681D6F"/>
    <w:rsid w:val="006866DD"/>
    <w:rsid w:val="006A07FF"/>
    <w:rsid w:val="006F02BE"/>
    <w:rsid w:val="006F7278"/>
    <w:rsid w:val="00704F3F"/>
    <w:rsid w:val="0072028D"/>
    <w:rsid w:val="00725B4B"/>
    <w:rsid w:val="00746068"/>
    <w:rsid w:val="00755738"/>
    <w:rsid w:val="00761AA8"/>
    <w:rsid w:val="007672BA"/>
    <w:rsid w:val="00780BC7"/>
    <w:rsid w:val="00780CA2"/>
    <w:rsid w:val="007963B9"/>
    <w:rsid w:val="007969AC"/>
    <w:rsid w:val="007C6951"/>
    <w:rsid w:val="007E0B13"/>
    <w:rsid w:val="007E7931"/>
    <w:rsid w:val="00804C94"/>
    <w:rsid w:val="00812EFC"/>
    <w:rsid w:val="008240A8"/>
    <w:rsid w:val="00840C27"/>
    <w:rsid w:val="0084114E"/>
    <w:rsid w:val="0085025F"/>
    <w:rsid w:val="008549DD"/>
    <w:rsid w:val="008A52C0"/>
    <w:rsid w:val="008C3208"/>
    <w:rsid w:val="008D1428"/>
    <w:rsid w:val="008D19D7"/>
    <w:rsid w:val="008D1FC8"/>
    <w:rsid w:val="008E798B"/>
    <w:rsid w:val="008F0519"/>
    <w:rsid w:val="0090627B"/>
    <w:rsid w:val="00911DBF"/>
    <w:rsid w:val="0096741B"/>
    <w:rsid w:val="00985F88"/>
    <w:rsid w:val="00991F74"/>
    <w:rsid w:val="009A4F1F"/>
    <w:rsid w:val="009C6DE6"/>
    <w:rsid w:val="00A039AB"/>
    <w:rsid w:val="00A07FE5"/>
    <w:rsid w:val="00A14742"/>
    <w:rsid w:val="00A154DB"/>
    <w:rsid w:val="00A4026F"/>
    <w:rsid w:val="00A52F4C"/>
    <w:rsid w:val="00A55EB7"/>
    <w:rsid w:val="00A6228D"/>
    <w:rsid w:val="00A83B8D"/>
    <w:rsid w:val="00A953CD"/>
    <w:rsid w:val="00AB5438"/>
    <w:rsid w:val="00AD4672"/>
    <w:rsid w:val="00AF09E6"/>
    <w:rsid w:val="00AF7A48"/>
    <w:rsid w:val="00B00BB4"/>
    <w:rsid w:val="00B02147"/>
    <w:rsid w:val="00B03484"/>
    <w:rsid w:val="00B1348C"/>
    <w:rsid w:val="00B32B36"/>
    <w:rsid w:val="00B411FE"/>
    <w:rsid w:val="00B64952"/>
    <w:rsid w:val="00B82414"/>
    <w:rsid w:val="00B924AC"/>
    <w:rsid w:val="00B93986"/>
    <w:rsid w:val="00B96F8E"/>
    <w:rsid w:val="00BA1A59"/>
    <w:rsid w:val="00BC0557"/>
    <w:rsid w:val="00BD1522"/>
    <w:rsid w:val="00BF4C51"/>
    <w:rsid w:val="00C01D88"/>
    <w:rsid w:val="00C15F72"/>
    <w:rsid w:val="00C23E34"/>
    <w:rsid w:val="00C2407A"/>
    <w:rsid w:val="00C76177"/>
    <w:rsid w:val="00C930F4"/>
    <w:rsid w:val="00C9695E"/>
    <w:rsid w:val="00CA1F02"/>
    <w:rsid w:val="00CC35A1"/>
    <w:rsid w:val="00CF0C4B"/>
    <w:rsid w:val="00D27B9E"/>
    <w:rsid w:val="00D33856"/>
    <w:rsid w:val="00D60B75"/>
    <w:rsid w:val="00D71AE2"/>
    <w:rsid w:val="00D84A6C"/>
    <w:rsid w:val="00D918C3"/>
    <w:rsid w:val="00D97B3E"/>
    <w:rsid w:val="00DA2EB3"/>
    <w:rsid w:val="00DF1DE9"/>
    <w:rsid w:val="00E024A6"/>
    <w:rsid w:val="00E03AFD"/>
    <w:rsid w:val="00E11D67"/>
    <w:rsid w:val="00E31EF9"/>
    <w:rsid w:val="00E349BE"/>
    <w:rsid w:val="00E42642"/>
    <w:rsid w:val="00E43126"/>
    <w:rsid w:val="00E510F1"/>
    <w:rsid w:val="00E56BBD"/>
    <w:rsid w:val="00E63065"/>
    <w:rsid w:val="00E6629C"/>
    <w:rsid w:val="00E704BF"/>
    <w:rsid w:val="00E72097"/>
    <w:rsid w:val="00E73589"/>
    <w:rsid w:val="00E75F67"/>
    <w:rsid w:val="00E77262"/>
    <w:rsid w:val="00E86C77"/>
    <w:rsid w:val="00EC3B3D"/>
    <w:rsid w:val="00ED0AF2"/>
    <w:rsid w:val="00ED330D"/>
    <w:rsid w:val="00ED4130"/>
    <w:rsid w:val="00ED67AE"/>
    <w:rsid w:val="00F07C7C"/>
    <w:rsid w:val="00F16855"/>
    <w:rsid w:val="00F4280B"/>
    <w:rsid w:val="00F44DEE"/>
    <w:rsid w:val="00F532BF"/>
    <w:rsid w:val="00F56BAB"/>
    <w:rsid w:val="00F76DE5"/>
    <w:rsid w:val="00F83B24"/>
    <w:rsid w:val="00FA3664"/>
    <w:rsid w:val="00FD4D83"/>
    <w:rsid w:val="00FD5395"/>
    <w:rsid w:val="00FE3BBB"/>
    <w:rsid w:val="01511295"/>
    <w:rsid w:val="017D51D9"/>
    <w:rsid w:val="024D10BA"/>
    <w:rsid w:val="07884A34"/>
    <w:rsid w:val="098C5A04"/>
    <w:rsid w:val="09C84722"/>
    <w:rsid w:val="0C0D0F41"/>
    <w:rsid w:val="0C7D64CC"/>
    <w:rsid w:val="0E061146"/>
    <w:rsid w:val="109242EC"/>
    <w:rsid w:val="12787634"/>
    <w:rsid w:val="12BD1D7D"/>
    <w:rsid w:val="1339276F"/>
    <w:rsid w:val="14E46955"/>
    <w:rsid w:val="15F70540"/>
    <w:rsid w:val="18187EE4"/>
    <w:rsid w:val="1BF80DCD"/>
    <w:rsid w:val="2023602D"/>
    <w:rsid w:val="24361729"/>
    <w:rsid w:val="24B34085"/>
    <w:rsid w:val="25504D69"/>
    <w:rsid w:val="25B91C33"/>
    <w:rsid w:val="26093E3C"/>
    <w:rsid w:val="26C358EC"/>
    <w:rsid w:val="27F041FE"/>
    <w:rsid w:val="2A802D8B"/>
    <w:rsid w:val="2C663890"/>
    <w:rsid w:val="2F61378E"/>
    <w:rsid w:val="30581456"/>
    <w:rsid w:val="30E149E5"/>
    <w:rsid w:val="31CB4727"/>
    <w:rsid w:val="3ECE6A32"/>
    <w:rsid w:val="3FC72818"/>
    <w:rsid w:val="3FC90989"/>
    <w:rsid w:val="40A75A1F"/>
    <w:rsid w:val="40E6294E"/>
    <w:rsid w:val="43B264EF"/>
    <w:rsid w:val="48476F63"/>
    <w:rsid w:val="48BF7544"/>
    <w:rsid w:val="4B1141F9"/>
    <w:rsid w:val="4D063C00"/>
    <w:rsid w:val="4D1F4DB9"/>
    <w:rsid w:val="4E187166"/>
    <w:rsid w:val="4F0D2569"/>
    <w:rsid w:val="51720021"/>
    <w:rsid w:val="54774FF8"/>
    <w:rsid w:val="54996FCF"/>
    <w:rsid w:val="56544B4E"/>
    <w:rsid w:val="5B5C4B8E"/>
    <w:rsid w:val="5CA70BFB"/>
    <w:rsid w:val="647642B3"/>
    <w:rsid w:val="64A71C53"/>
    <w:rsid w:val="65E8074A"/>
    <w:rsid w:val="67D461E8"/>
    <w:rsid w:val="695C6EAF"/>
    <w:rsid w:val="6A0B369D"/>
    <w:rsid w:val="6D186835"/>
    <w:rsid w:val="6EEE5D9C"/>
    <w:rsid w:val="6F9904B8"/>
    <w:rsid w:val="75015474"/>
    <w:rsid w:val="789E315D"/>
    <w:rsid w:val="79090101"/>
    <w:rsid w:val="7B8B22D3"/>
    <w:rsid w:val="7BDE1447"/>
    <w:rsid w:val="7BFB13BD"/>
    <w:rsid w:val="7C0062AB"/>
    <w:rsid w:val="7DB248C3"/>
    <w:rsid w:val="7EEB6D50"/>
    <w:rsid w:val="7F066A64"/>
    <w:rsid w:val="7F1B18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footer"/>
    <w:basedOn w:val="1"/>
    <w:link w:val="10"/>
    <w:semiHidden/>
    <w:qFormat/>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locked/>
    <w:uiPriority w:val="99"/>
    <w:rPr>
      <w:sz w:val="18"/>
      <w:szCs w:val="18"/>
    </w:rPr>
  </w:style>
  <w:style w:type="character" w:customStyle="1" w:styleId="10">
    <w:name w:val="页脚 Char"/>
    <w:basedOn w:val="8"/>
    <w:link w:val="3"/>
    <w:semiHidden/>
    <w:qFormat/>
    <w:locked/>
    <w:uiPriority w:val="99"/>
    <w:rPr>
      <w:sz w:val="18"/>
      <w:szCs w:val="18"/>
    </w:rPr>
  </w:style>
  <w:style w:type="character" w:customStyle="1" w:styleId="11">
    <w:name w:val="日期 Char"/>
    <w:basedOn w:val="8"/>
    <w:link w:val="2"/>
    <w:semiHidden/>
    <w:qFormat/>
    <w:uiPriority w:val="99"/>
    <w:rPr>
      <w:rFonts w:ascii="Times New Roman" w:hAnsi="Times New Roman"/>
      <w:kern w:val="2"/>
      <w:sz w:val="21"/>
      <w:szCs w:val="21"/>
    </w:rPr>
  </w:style>
  <w:style w:type="paragraph" w:customStyle="1" w:styleId="12">
    <w:name w:val="p0"/>
    <w:basedOn w:val="1"/>
    <w:qFormat/>
    <w:uiPriority w:val="0"/>
    <w:pPr>
      <w:widowControl/>
      <w:jc w:val="left"/>
    </w:pPr>
    <w:rPr>
      <w:rFonts w:ascii="宋体" w:hAnsi="宋体" w:cs="宋体"/>
      <w:kern w:val="0"/>
      <w:sz w:val="24"/>
    </w:rPr>
  </w:style>
  <w:style w:type="character" w:customStyle="1" w:styleId="13">
    <w:name w:val="font11"/>
    <w:basedOn w:val="8"/>
    <w:qFormat/>
    <w:uiPriority w:val="0"/>
    <w:rPr>
      <w:rFonts w:hint="eastAsia" w:ascii="宋体" w:hAnsi="宋体" w:eastAsia="宋体" w:cs="宋体"/>
      <w:color w:val="000000"/>
      <w:sz w:val="22"/>
      <w:szCs w:val="22"/>
      <w:u w:val="none"/>
    </w:rPr>
  </w:style>
  <w:style w:type="character" w:customStyle="1" w:styleId="14">
    <w:name w:val="font41"/>
    <w:basedOn w:val="8"/>
    <w:qFormat/>
    <w:uiPriority w:val="0"/>
    <w:rPr>
      <w:rFonts w:hint="eastAsia" w:ascii="宋体" w:hAnsi="宋体" w:eastAsia="宋体" w:cs="宋体"/>
      <w:color w:val="000000"/>
      <w:sz w:val="24"/>
      <w:szCs w:val="24"/>
      <w:u w:val="none"/>
      <w:vertAlign w:val="superscript"/>
    </w:rPr>
  </w:style>
  <w:style w:type="character" w:customStyle="1" w:styleId="15">
    <w:name w:val="font31"/>
    <w:basedOn w:val="8"/>
    <w:uiPriority w:val="0"/>
    <w:rPr>
      <w:rFonts w:hint="default" w:ascii="Times New Roman" w:hAnsi="Times New Roman" w:cs="Times New Roman"/>
      <w:color w:val="000000"/>
      <w:sz w:val="24"/>
      <w:szCs w:val="24"/>
      <w:u w:val="none"/>
    </w:rPr>
  </w:style>
  <w:style w:type="character" w:customStyle="1" w:styleId="16">
    <w:name w:val="font21"/>
    <w:basedOn w:val="8"/>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157</Words>
  <Characters>897</Characters>
  <Lines>7</Lines>
  <Paragraphs>2</Paragraphs>
  <TotalTime>4</TotalTime>
  <ScaleCrop>false</ScaleCrop>
  <LinksUpToDate>false</LinksUpToDate>
  <CharactersWithSpaces>1052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2018-12-24T11:56:00Z</dcterms:created>
  <dc:creator>ad</dc:creator>
  <cp:lastModifiedBy>冰激凌</cp:lastModifiedBy>
  <cp:lastPrinted>2016-09-09T08:47:00Z</cp:lastPrinted>
  <dcterms:modified xsi:type="dcterms:W3CDTF">2020-11-27T00:52:25Z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